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46978F89"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E25DAD">
        <w:rPr>
          <w:rFonts w:ascii="Arial" w:eastAsia="Times New Roman" w:hAnsi="Arial"/>
          <w:b/>
          <w:bCs/>
          <w:sz w:val="24"/>
          <w:szCs w:val="24"/>
        </w:rPr>
        <w:t>7</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02578E0">
        <w:rPr>
          <w:rFonts w:ascii="Arial" w:eastAsia="Times New Roman" w:hAnsi="Arial"/>
          <w:b/>
          <w:bCs/>
          <w:sz w:val="24"/>
          <w:szCs w:val="24"/>
        </w:rPr>
        <w:t>6638</w:t>
      </w:r>
    </w:p>
    <w:p w14:paraId="3CF0036C" w14:textId="18C86B97" w:rsidR="00453B12" w:rsidRDefault="00E25DAD" w:rsidP="00453B12">
      <w:pPr>
        <w:widowControl w:val="0"/>
        <w:tabs>
          <w:tab w:val="right" w:pos="9639"/>
        </w:tabs>
        <w:spacing w:after="0"/>
        <w:rPr>
          <w:rFonts w:ascii="Arial" w:eastAsia="Times New Roman" w:hAnsi="Arial"/>
          <w:b/>
          <w:bCs/>
          <w:i/>
          <w:sz w:val="24"/>
          <w:szCs w:val="24"/>
        </w:rPr>
      </w:pPr>
      <w:r w:rsidRPr="00E25DAD">
        <w:rPr>
          <w:rFonts w:ascii="Arial" w:eastAsia="Times New Roman" w:hAnsi="Arial"/>
          <w:b/>
          <w:bCs/>
          <w:sz w:val="24"/>
          <w:szCs w:val="24"/>
        </w:rPr>
        <w:t xml:space="preserve">Maastricht, </w:t>
      </w:r>
      <w:r w:rsidR="002578E0" w:rsidRPr="002578E0">
        <w:rPr>
          <w:rFonts w:ascii="Arial" w:eastAsia="Times New Roman" w:hAnsi="Arial"/>
          <w:b/>
          <w:bCs/>
          <w:sz w:val="24"/>
          <w:szCs w:val="24"/>
        </w:rPr>
        <w:t>Netherlands,</w:t>
      </w:r>
      <w:r w:rsidR="002578E0">
        <w:rPr>
          <w:rFonts w:ascii="Arial" w:eastAsia="Times New Roman" w:hAnsi="Arial"/>
          <w:b/>
          <w:bCs/>
          <w:sz w:val="24"/>
          <w:szCs w:val="24"/>
        </w:rPr>
        <w:t xml:space="preserve"> </w:t>
      </w:r>
      <w:r w:rsidRPr="00E25DAD">
        <w:rPr>
          <w:rFonts w:ascii="Arial" w:eastAsia="Times New Roman" w:hAnsi="Arial"/>
          <w:b/>
          <w:bCs/>
          <w:sz w:val="24"/>
          <w:szCs w:val="24"/>
        </w:rPr>
        <w:t xml:space="preserve">August 19th – 23rd, 2024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22F21E9"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46F53">
        <w:rPr>
          <w:rFonts w:ascii="Arial" w:eastAsia="Times New Roman" w:hAnsi="Arial" w:cs="Arial"/>
          <w:b/>
          <w:bCs/>
          <w:sz w:val="24"/>
        </w:rPr>
        <w:t>Discussion on cell DTX</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639D3027" w14:textId="2CC70E37" w:rsidR="007C4C5D" w:rsidRDefault="00905F05" w:rsidP="004768A4">
      <w:pPr>
        <w:pStyle w:val="B1"/>
        <w:ind w:left="0" w:firstLine="0"/>
      </w:pPr>
      <w:r w:rsidRPr="3FCBD0A6">
        <w:t>In RAN</w:t>
      </w:r>
      <w:r w:rsidR="005316FD">
        <w:t>#12</w:t>
      </w:r>
      <w:r w:rsidR="004768A4">
        <w:t>6</w:t>
      </w:r>
      <w:r w:rsidR="005316FD">
        <w:t xml:space="preserve">, following agreements were made on </w:t>
      </w:r>
      <w:r w:rsidR="007C4C5D">
        <w:t>DL coverage enhancements</w:t>
      </w:r>
      <w:r w:rsidRPr="3FCBD0A6">
        <w:t>.</w:t>
      </w:r>
    </w:p>
    <w:p w14:paraId="219AD8F1" w14:textId="77777777" w:rsidR="004768A4" w:rsidRDefault="004768A4" w:rsidP="004768A4">
      <w:pPr>
        <w:pStyle w:val="Agreement"/>
      </w:pPr>
      <w:r>
        <w:t xml:space="preserve">Based on the solution being investigated in RAN1, RAN2 will further discuss whether/how legacy UEs might operate in a cell supporting DL coverage enhancements. </w:t>
      </w:r>
    </w:p>
    <w:p w14:paraId="1CCBB3DB" w14:textId="77777777" w:rsidR="009125A8" w:rsidRDefault="009125A8" w:rsidP="009125A8">
      <w:pPr>
        <w:pStyle w:val="Agreement"/>
      </w:pPr>
      <w:r w:rsidRPr="00D67F82">
        <w:t xml:space="preserve">Ask RAN1 </w:t>
      </w:r>
      <w:r>
        <w:t>to keep us informed on their progress on wh</w:t>
      </w:r>
      <w:r w:rsidRPr="00D67F82">
        <w:t>ether the existing SSB pattern for an NR cell (e.g. SSB position in burst, SSB index number, etc.) is changed in Rel-19 NR NTN, and whether the SSB periodicity is extended compared with existing TN values.</w:t>
      </w:r>
    </w:p>
    <w:p w14:paraId="4DBFABBA" w14:textId="77777777" w:rsidR="009125A8" w:rsidRPr="008B4D8D" w:rsidRDefault="009125A8" w:rsidP="009125A8">
      <w:pPr>
        <w:pStyle w:val="Agreement"/>
      </w:pPr>
      <w:r>
        <w:t xml:space="preserve">More in general, ask RAN1 whether/how the solution they are investigating is expected to impact common control signalling for UEs in RRC idle / RRC inactive </w:t>
      </w:r>
    </w:p>
    <w:p w14:paraId="4D2BF03C" w14:textId="77777777" w:rsidR="009125A8" w:rsidRPr="001C3C79" w:rsidRDefault="009125A8" w:rsidP="009125A8">
      <w:pPr>
        <w:pStyle w:val="Agreement"/>
      </w:pPr>
      <w:r>
        <w:t xml:space="preserve">Also remind RAN1 that satellite beams are currently not visible to UEs and any decision about different beam status will have to relate to beams visible to the UE (e.g. SSB beams) </w:t>
      </w:r>
    </w:p>
    <w:p w14:paraId="5A40731E" w14:textId="77777777" w:rsidR="00802DC3" w:rsidRDefault="00802DC3" w:rsidP="00802DC3">
      <w:pPr>
        <w:pStyle w:val="Agreement"/>
      </w:pPr>
      <w:r>
        <w:t>Also ask RAN1 w</w:t>
      </w:r>
      <w:r w:rsidRPr="000B531D">
        <w:t xml:space="preserve">hether </w:t>
      </w:r>
      <w:r>
        <w:t xml:space="preserve">they are also working on </w:t>
      </w:r>
      <w:r w:rsidRPr="000B531D">
        <w:t xml:space="preserve">UL beam hopping </w:t>
      </w:r>
      <w:r>
        <w:t>(and whether this is separate from</w:t>
      </w:r>
      <w:r w:rsidRPr="000B531D">
        <w:t xml:space="preserve"> DL beam h</w:t>
      </w:r>
      <w:r>
        <w:t>opping)</w:t>
      </w:r>
    </w:p>
    <w:p w14:paraId="27C891B0" w14:textId="77777777" w:rsidR="002326BB" w:rsidRDefault="002326BB" w:rsidP="002326BB">
      <w:pPr>
        <w:pStyle w:val="Agreement"/>
      </w:pPr>
      <w:r>
        <w:t>RAN2 assumes that both EFC and EMC are supported (no need to send this in the LS to RAN1)</w:t>
      </w:r>
    </w:p>
    <w:p w14:paraId="5541C30C" w14:textId="77777777" w:rsidR="002326BB" w:rsidRDefault="002326BB" w:rsidP="00BC4C81">
      <w:pPr>
        <w:pStyle w:val="B1"/>
        <w:ind w:left="0" w:firstLine="0"/>
      </w:pPr>
    </w:p>
    <w:p w14:paraId="52317F18" w14:textId="48FF7A51" w:rsidR="007064FB" w:rsidRDefault="00203086" w:rsidP="00BC4C81">
      <w:pPr>
        <w:pStyle w:val="B1"/>
        <w:ind w:left="0" w:firstLine="0"/>
      </w:pPr>
      <w:r>
        <w:t>In</w:t>
      </w:r>
      <w:r w:rsidR="00661AB9" w:rsidRPr="3FCBD0A6">
        <w:t xml:space="preserve"> this document, we </w:t>
      </w:r>
      <w:r w:rsidR="002326BB">
        <w:t>cell DTX aspect</w:t>
      </w:r>
      <w:r w:rsidR="00BA5021">
        <w:t xml:space="preserve"> for NTN</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1F4B1C8" w14:textId="5AA3A950" w:rsidR="002A3C7D" w:rsidRPr="003D26F9" w:rsidRDefault="007F1FF4" w:rsidP="000B4873">
      <w:r>
        <w:t xml:space="preserve">Due to power budget limitation at satellite, </w:t>
      </w:r>
      <w:r w:rsidR="006313A5">
        <w:t>all</w:t>
      </w:r>
      <w:r>
        <w:t xml:space="preserve"> beam</w:t>
      </w:r>
      <w:r w:rsidR="006313A5">
        <w:t>s</w:t>
      </w:r>
      <w:r>
        <w:t xml:space="preserve"> may not be</w:t>
      </w:r>
      <w:r w:rsidR="006313A5">
        <w:t xml:space="preserve"> possible to be active at the same time.</w:t>
      </w:r>
      <w:r w:rsidR="00C3294A">
        <w:t xml:space="preserve"> It is also possible that which beam needs to be turned off at a time t1 </w:t>
      </w:r>
      <w:r w:rsidR="001F2B9D">
        <w:t>may depend on what is the traffic load around or before time t1.</w:t>
      </w:r>
      <w:r w:rsidR="00B93886">
        <w:t xml:space="preserve"> As discussed in [1], TDM pattern is an effective way to enable flexible power sharing among satellite beams</w:t>
      </w:r>
      <w:r w:rsidR="00173883">
        <w:t xml:space="preserve"> and it allows the options of using multiple patterns.</w:t>
      </w:r>
      <w:r w:rsidR="00B538A0">
        <w:t xml:space="preserve"> </w:t>
      </w:r>
    </w:p>
    <w:p w14:paraId="7E1C55C0" w14:textId="77777777" w:rsidR="00AC68CE" w:rsidRDefault="00AC68CE" w:rsidP="00AC68CE">
      <w:pPr>
        <w:keepNext/>
        <w:jc w:val="center"/>
      </w:pPr>
      <w:r w:rsidRPr="00AC68CE">
        <w:rPr>
          <w:noProof/>
        </w:rPr>
        <w:drawing>
          <wp:inline distT="0" distB="0" distL="0" distR="0" wp14:anchorId="2CB6FE7F" wp14:editId="79025DC5">
            <wp:extent cx="5923915" cy="1402080"/>
            <wp:effectExtent l="0" t="0" r="635" b="7620"/>
            <wp:docPr id="6" name="Picture 5">
              <a:extLst xmlns:a="http://schemas.openxmlformats.org/drawingml/2006/main">
                <a:ext uri="{FF2B5EF4-FFF2-40B4-BE49-F238E27FC236}">
                  <a16:creationId xmlns:a16="http://schemas.microsoft.com/office/drawing/2014/main" id="{025D6D30-A02A-C144-7C37-02A65227A5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5D6D30-A02A-C144-7C37-02A65227A5E5}"/>
                        </a:ext>
                      </a:extLst>
                    </pic:cNvPr>
                    <pic:cNvPicPr>
                      <a:picLocks noChangeAspect="1"/>
                    </pic:cNvPicPr>
                  </pic:nvPicPr>
                  <pic:blipFill>
                    <a:blip r:embed="rId11"/>
                    <a:stretch>
                      <a:fillRect/>
                    </a:stretch>
                  </pic:blipFill>
                  <pic:spPr>
                    <a:xfrm>
                      <a:off x="0" y="0"/>
                      <a:ext cx="5923915" cy="1402080"/>
                    </a:xfrm>
                    <a:prstGeom prst="rect">
                      <a:avLst/>
                    </a:prstGeom>
                  </pic:spPr>
                </pic:pic>
              </a:graphicData>
            </a:graphic>
          </wp:inline>
        </w:drawing>
      </w:r>
    </w:p>
    <w:p w14:paraId="52F104F5" w14:textId="4B04E44C" w:rsidR="002A3C7D" w:rsidRPr="003D26F9" w:rsidRDefault="00AC68CE" w:rsidP="00AC68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DTX</w:t>
      </w:r>
      <w:r w:rsidR="00D97D45">
        <w:t xml:space="preserve"> for different UEs.</w:t>
      </w:r>
    </w:p>
    <w:p w14:paraId="5C410676" w14:textId="6A4AD0DA" w:rsidR="006B4D97" w:rsidRDefault="007B0285" w:rsidP="000B4873">
      <w:r>
        <w:t>In our view, the major</w:t>
      </w:r>
      <w:r w:rsidR="00105A52">
        <w:t xml:space="preserve"> concern for the</w:t>
      </w:r>
      <w:r>
        <w:t xml:space="preserve"> power budget </w:t>
      </w:r>
      <w:r w:rsidR="00105A52">
        <w:t>is the periodic broadcast of SSB and SIB1</w:t>
      </w:r>
      <w:r w:rsidR="0041084D">
        <w:t xml:space="preserve">, which consumes </w:t>
      </w:r>
      <w:r w:rsidR="004D2666">
        <w:t>most</w:t>
      </w:r>
      <w:r w:rsidR="0041084D">
        <w:t xml:space="preserve"> of the </w:t>
      </w:r>
      <w:r w:rsidR="000E2C31">
        <w:t>beam</w:t>
      </w:r>
      <w:r w:rsidR="0041084D">
        <w:t xml:space="preserve"> power budget</w:t>
      </w:r>
      <w:r w:rsidR="000712ED">
        <w:t xml:space="preserve"> for UEs in RRC_IDLE and RRC_INACTIVE</w:t>
      </w:r>
      <w:r w:rsidR="0041084D">
        <w:t>.</w:t>
      </w:r>
      <w:r w:rsidR="005E22D9">
        <w:t xml:space="preserve"> </w:t>
      </w:r>
      <w:r w:rsidR="6EE1A421">
        <w:t xml:space="preserve">RAN2 is waiting feedback from </w:t>
      </w:r>
      <w:r w:rsidR="6EE1A421">
        <w:lastRenderedPageBreak/>
        <w:t>RAN1 but i</w:t>
      </w:r>
      <w:r w:rsidR="006B4D97">
        <w:t xml:space="preserve">t may be better </w:t>
      </w:r>
      <w:r w:rsidR="67CB08F5">
        <w:t xml:space="preserve">RAN2 </w:t>
      </w:r>
      <w:r w:rsidR="69316B50">
        <w:t>to assume t</w:t>
      </w:r>
      <w:r w:rsidR="18876064">
        <w:t>he</w:t>
      </w:r>
      <w:r w:rsidR="69316B50">
        <w:t xml:space="preserve"> support</w:t>
      </w:r>
      <w:r w:rsidR="4757D419">
        <w:t xml:space="preserve"> of</w:t>
      </w:r>
      <w:r w:rsidR="69316B50">
        <w:t xml:space="preserve"> the case where </w:t>
      </w:r>
      <w:r w:rsidR="00626D0B">
        <w:t>NTN cell DTX</w:t>
      </w:r>
      <w:r w:rsidR="00DA6578">
        <w:t xml:space="preserve"> is </w:t>
      </w:r>
      <w:r w:rsidR="00DB7087">
        <w:t>complet</w:t>
      </w:r>
      <w:r w:rsidR="009457BF">
        <w:t>e cell off, i.e., all broadcast signals are off.</w:t>
      </w:r>
    </w:p>
    <w:p w14:paraId="1609403B" w14:textId="7E387BAC" w:rsidR="009457BF" w:rsidRDefault="00A802E7" w:rsidP="00D57FD6">
      <w:pPr>
        <w:pStyle w:val="Proposal"/>
      </w:pPr>
      <w:bookmarkStart w:id="0" w:name="_Toc166149636"/>
      <w:bookmarkStart w:id="1" w:name="_Toc166149713"/>
      <w:bookmarkStart w:id="2" w:name="_Toc166149858"/>
      <w:bookmarkStart w:id="3" w:name="_Toc166170051"/>
      <w:bookmarkStart w:id="4" w:name="_Toc166170128"/>
      <w:bookmarkStart w:id="5" w:name="_Toc173602595"/>
      <w:bookmarkStart w:id="6" w:name="_Toc173603413"/>
      <w:bookmarkStart w:id="7" w:name="_Toc173770113"/>
      <w:bookmarkStart w:id="8" w:name="_Toc174035959"/>
      <w:bookmarkStart w:id="9" w:name="_Toc174035976"/>
      <w:r>
        <w:t>RAN2 assume that new NTN cell DTX</w:t>
      </w:r>
      <w:r w:rsidR="00BC7F10">
        <w:t xml:space="preserve"> </w:t>
      </w:r>
      <w:r w:rsidR="77B4DBE6">
        <w:t>with</w:t>
      </w:r>
      <w:r w:rsidR="007A7E0E">
        <w:t xml:space="preserve"> </w:t>
      </w:r>
      <w:r w:rsidR="00745E54">
        <w:t xml:space="preserve">ON and OFF pattern of the </w:t>
      </w:r>
      <w:r w:rsidR="006F42EA">
        <w:t>beam</w:t>
      </w:r>
      <w:r w:rsidR="3DD2CC3B">
        <w:t xml:space="preserve"> is supported</w:t>
      </w:r>
      <w:r w:rsidR="009031C3">
        <w:t>.</w:t>
      </w:r>
      <w:bookmarkEnd w:id="0"/>
      <w:bookmarkEnd w:id="1"/>
      <w:bookmarkEnd w:id="2"/>
      <w:bookmarkEnd w:id="3"/>
      <w:bookmarkEnd w:id="4"/>
      <w:bookmarkEnd w:id="5"/>
      <w:bookmarkEnd w:id="6"/>
      <w:bookmarkEnd w:id="7"/>
      <w:bookmarkEnd w:id="8"/>
      <w:bookmarkEnd w:id="9"/>
    </w:p>
    <w:p w14:paraId="0DF50C64" w14:textId="0DFF72E0" w:rsidR="00D7342E" w:rsidRDefault="00B31053" w:rsidP="000B4873">
      <w:r>
        <w:t>As mentioned earlier, a single semi-static</w:t>
      </w:r>
      <w:r w:rsidR="00927418">
        <w:t xml:space="preserve"> cell DTX</w:t>
      </w:r>
      <w:r>
        <w:t xml:space="preserve"> pattern may not be efficient. A dynamic</w:t>
      </w:r>
      <w:r w:rsidR="00927418">
        <w:t xml:space="preserve"> cell DTX pattern based on traffic load of the beam</w:t>
      </w:r>
      <w:r w:rsidR="2BB4840F">
        <w:t>s</w:t>
      </w:r>
      <w:r w:rsidR="00927418">
        <w:t xml:space="preserve"> can be more efficient.</w:t>
      </w:r>
      <w:r w:rsidR="003176AB">
        <w:t xml:space="preserve"> For this</w:t>
      </w:r>
      <w:r w:rsidR="0061743E">
        <w:t>,</w:t>
      </w:r>
      <w:r w:rsidR="003176AB">
        <w:t xml:space="preserve"> dynamic DCI based cell DTX activation/deactivation or multiple cell DTX patterns can be considered.</w:t>
      </w:r>
    </w:p>
    <w:p w14:paraId="125023A8" w14:textId="3286BFF1" w:rsidR="00EB34B8" w:rsidRDefault="00EB34B8" w:rsidP="000B4873">
      <w:r>
        <w:t>Rel-18 NES supports a single</w:t>
      </w:r>
      <w:r w:rsidR="00CE75AB">
        <w:t xml:space="preserve"> DTX pattern per serving cell, however, it already supports DCI-based activation </w:t>
      </w:r>
      <w:r w:rsidR="00804340">
        <w:t>and deactivation of the DTX pattern. This mechanism can also be extended for NTN scenario.</w:t>
      </w:r>
      <w:r w:rsidR="007A056B">
        <w:t xml:space="preserve"> Dynamically one beam may be</w:t>
      </w:r>
      <w:r w:rsidR="00334BE4">
        <w:t xml:space="preserve"> deactivated with cell DTX or activated with a new cell DTX pattern depending on traffic load and power</w:t>
      </w:r>
      <w:r w:rsidR="00F36244">
        <w:t xml:space="preserve"> sharing management. We can consider th</w:t>
      </w:r>
      <w:r w:rsidR="00EF437B">
        <w:t xml:space="preserve">e DCI-based </w:t>
      </w:r>
      <w:r w:rsidR="008411A6">
        <w:t>activation/deactivation command for both cases when the cell configures UE with multiple DTX pattern or just a single DTX pattern.</w:t>
      </w:r>
    </w:p>
    <w:p w14:paraId="13724724" w14:textId="35BA2059" w:rsidR="00165516" w:rsidRDefault="00E675C4" w:rsidP="00E97DFB">
      <w:pPr>
        <w:pStyle w:val="Proposal"/>
      </w:pPr>
      <w:bookmarkStart w:id="10" w:name="_Toc165902516"/>
      <w:bookmarkStart w:id="11" w:name="_Toc165902593"/>
      <w:bookmarkStart w:id="12" w:name="_Toc166149639"/>
      <w:bookmarkStart w:id="13" w:name="_Toc166149716"/>
      <w:bookmarkStart w:id="14" w:name="_Toc166149861"/>
      <w:bookmarkStart w:id="15" w:name="_Toc166170054"/>
      <w:bookmarkStart w:id="16" w:name="_Toc166170131"/>
      <w:bookmarkStart w:id="17" w:name="_Toc173602596"/>
      <w:bookmarkStart w:id="18" w:name="_Toc173603414"/>
      <w:bookmarkStart w:id="19" w:name="_Toc173770114"/>
      <w:bookmarkStart w:id="20" w:name="_Toc174035960"/>
      <w:bookmarkStart w:id="21" w:name="_Toc174035977"/>
      <w:r>
        <w:t>RAN2 assumes</w:t>
      </w:r>
      <w:r w:rsidR="00165516">
        <w:t xml:space="preserve"> dynamic activation/deactivation of </w:t>
      </w:r>
      <w:r w:rsidR="00945075">
        <w:t xml:space="preserve">new NTN </w:t>
      </w:r>
      <w:r w:rsidR="00165516">
        <w:t>cell DTX patterns based on</w:t>
      </w:r>
      <w:r w:rsidR="00E97DFB">
        <w:t xml:space="preserve"> beam/cell traffic load is </w:t>
      </w:r>
      <w:r w:rsidR="006B4076">
        <w:t>supported</w:t>
      </w:r>
      <w:r w:rsidR="00E97DFB">
        <w:t>.</w:t>
      </w:r>
      <w:bookmarkEnd w:id="10"/>
      <w:bookmarkEnd w:id="11"/>
      <w:bookmarkEnd w:id="12"/>
      <w:bookmarkEnd w:id="13"/>
      <w:bookmarkEnd w:id="14"/>
      <w:bookmarkEnd w:id="15"/>
      <w:bookmarkEnd w:id="16"/>
      <w:r w:rsidR="00EF437B">
        <w:t xml:space="preserve"> Existing DCI-based cell DTX activation/deactivation indication can be baseline.</w:t>
      </w:r>
      <w:bookmarkEnd w:id="17"/>
      <w:bookmarkEnd w:id="18"/>
      <w:bookmarkEnd w:id="19"/>
      <w:bookmarkEnd w:id="20"/>
      <w:bookmarkEnd w:id="21"/>
    </w:p>
    <w:p w14:paraId="73B65F54" w14:textId="11599C8A" w:rsidR="00246E0E" w:rsidRDefault="004324D5" w:rsidP="000B4873">
      <w:r>
        <w:t xml:space="preserve">RAN2 is waiting </w:t>
      </w:r>
      <w:proofErr w:type="gramStart"/>
      <w:r w:rsidR="00FB0C49">
        <w:t>reply</w:t>
      </w:r>
      <w:proofErr w:type="gramEnd"/>
      <w:r>
        <w:t xml:space="preserve"> LS from RAN1</w:t>
      </w:r>
      <w:r w:rsidR="007E27D3">
        <w:t xml:space="preserve"> to be clear on cell DTX solutions</w:t>
      </w:r>
      <w:r>
        <w:t>.</w:t>
      </w:r>
      <w:r w:rsidR="000F5047">
        <w:t xml:space="preserve"> Once it is clear whether cell DTX is supported</w:t>
      </w:r>
      <w:r w:rsidR="000E61A5">
        <w:t xml:space="preserve"> in which RRC states</w:t>
      </w:r>
      <w:r w:rsidR="007C5C9A">
        <w:t xml:space="preserve"> or </w:t>
      </w:r>
      <w:r w:rsidR="00CA478A">
        <w:t>applies to all RRC states</w:t>
      </w:r>
      <w:r w:rsidR="000E61A5">
        <w:t>,</w:t>
      </w:r>
      <w:r w:rsidR="00A83640">
        <w:t xml:space="preserve"> RAN2 should consider how to handle the legacy UEs and </w:t>
      </w:r>
      <w:proofErr w:type="spellStart"/>
      <w:r w:rsidR="00A83640">
        <w:t>neighbor</w:t>
      </w:r>
      <w:proofErr w:type="spellEnd"/>
      <w:r w:rsidR="00A83640">
        <w:t xml:space="preserve"> cell measurements.</w:t>
      </w:r>
      <w:r w:rsidR="00A91CF6">
        <w:t xml:space="preserve"> </w:t>
      </w:r>
      <w:r w:rsidR="00557401">
        <w:t xml:space="preserve">For UEs in RRC_IDLE, delay in initial access would need to be considered. </w:t>
      </w:r>
      <w:r w:rsidR="007E27D3">
        <w:t xml:space="preserve">Cell DTX pattern can also affect the </w:t>
      </w:r>
      <w:proofErr w:type="spellStart"/>
      <w:r w:rsidR="007E27D3">
        <w:t>neighbor</w:t>
      </w:r>
      <w:proofErr w:type="spellEnd"/>
      <w:r w:rsidR="007E27D3">
        <w:t xml:space="preserve"> cell measurements specially in RRC_IDLE. </w:t>
      </w:r>
      <w:r w:rsidR="00A91CF6">
        <w:t>On</w:t>
      </w:r>
      <w:r w:rsidR="005D5E61">
        <w:t>e</w:t>
      </w:r>
      <w:r w:rsidR="00A91CF6">
        <w:t xml:space="preserve"> simple option is to bar legacy UEs in a cell operating in cell DTX mode.</w:t>
      </w:r>
      <w:r w:rsidR="009E59A2">
        <w:t xml:space="preserve"> </w:t>
      </w:r>
    </w:p>
    <w:p w14:paraId="54150FC9" w14:textId="610AD13B" w:rsidR="005D5E61" w:rsidRPr="003D26F9" w:rsidRDefault="005D5E61" w:rsidP="007E27D3">
      <w:pPr>
        <w:pStyle w:val="Proposal"/>
      </w:pPr>
      <w:bookmarkStart w:id="22" w:name="_Toc173603415"/>
      <w:bookmarkStart w:id="23" w:name="_Toc173770115"/>
      <w:bookmarkStart w:id="24" w:name="_Toc174035961"/>
      <w:bookmarkStart w:id="25" w:name="_Toc174035978"/>
      <w:r>
        <w:t xml:space="preserve">RAN2 wait </w:t>
      </w:r>
      <w:proofErr w:type="gramStart"/>
      <w:r w:rsidR="00FB0C49">
        <w:t>reply</w:t>
      </w:r>
      <w:proofErr w:type="gramEnd"/>
      <w:r>
        <w:t xml:space="preserve"> LS from RAN1 to further discuss the impact</w:t>
      </w:r>
      <w:r w:rsidR="009E59A2">
        <w:t>s of cell DTX on UE measurements and initial access.</w:t>
      </w:r>
      <w:bookmarkEnd w:id="22"/>
      <w:bookmarkEnd w:id="23"/>
      <w:bookmarkEnd w:id="24"/>
      <w:bookmarkEnd w:id="25"/>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CCB244B" w14:textId="77777777" w:rsidR="00FB0C49"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FB0C49">
        <w:t>Proposal 1</w:t>
      </w:r>
      <w:r w:rsidR="00FB0C49">
        <w:rPr>
          <w:rFonts w:asciiTheme="minorHAnsi" w:eastAsiaTheme="minorEastAsia" w:hAnsiTheme="minorHAnsi" w:cstheme="minorBidi"/>
          <w:kern w:val="2"/>
          <w:sz w:val="24"/>
          <w:szCs w:val="24"/>
          <w:lang w:val="en-US"/>
          <w14:ligatures w14:val="standardContextual"/>
        </w:rPr>
        <w:tab/>
      </w:r>
      <w:r w:rsidR="00FB0C49">
        <w:t>RAN2 assume that new NTN cell DTX with ON and OFF pattern of the beam is supported.</w:t>
      </w:r>
    </w:p>
    <w:p w14:paraId="183C3B33" w14:textId="77777777" w:rsidR="00FB0C49" w:rsidRDefault="00FB0C49">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RAN2 assumes dynamic activation/deactivation of new NTN cell DTX patterns based on beam/cell traffic load is supported. Existing DCI-based cell DTX activation/deactivation indication can be baseline.</w:t>
      </w:r>
    </w:p>
    <w:p w14:paraId="59B7C102" w14:textId="77777777" w:rsidR="00FB0C49" w:rsidRDefault="00FB0C49">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RAN2 wait reply LS from RAN1 to further discuss the impacts of cell DTX on UE measurements and initial access.</w:t>
      </w:r>
    </w:p>
    <w:p w14:paraId="572A2F30" w14:textId="79744D61"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431A825A" w:rsidR="00D97D45" w:rsidRPr="00D97D45" w:rsidRDefault="00D97D45" w:rsidP="00D97D45">
      <w:r>
        <w:t xml:space="preserve">[1] </w:t>
      </w:r>
      <w:r w:rsidR="00143521" w:rsidRPr="00143521">
        <w:t>R1-2403211</w:t>
      </w:r>
      <w:r w:rsidR="00143521">
        <w:t>, “</w:t>
      </w:r>
      <w:r w:rsidR="008C0CC2" w:rsidRPr="008C0CC2">
        <w:t>Downlink coverage enhancement for NR NTN</w:t>
      </w:r>
      <w:r w:rsidR="008C0CC2">
        <w:t xml:space="preserve">”, </w:t>
      </w:r>
      <w:r w:rsidR="001E3B4A" w:rsidRPr="001E3B4A">
        <w:t>Changsha, China, April 15th – 19th, 2024</w:t>
      </w:r>
      <w:r w:rsidR="001E3B4A">
        <w:t>.</w:t>
      </w:r>
    </w:p>
    <w:sectPr w:rsidR="00D97D45" w:rsidRPr="00D97D45" w:rsidSect="00195324">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F4D46" w14:textId="77777777" w:rsidR="00E121EE" w:rsidRDefault="00E121EE">
      <w:pPr>
        <w:spacing w:after="0"/>
      </w:pPr>
      <w:r>
        <w:separator/>
      </w:r>
    </w:p>
  </w:endnote>
  <w:endnote w:type="continuationSeparator" w:id="0">
    <w:p w14:paraId="63A58F14" w14:textId="77777777" w:rsidR="00E121EE" w:rsidRDefault="00E121EE">
      <w:pPr>
        <w:spacing w:after="0"/>
      </w:pPr>
      <w:r>
        <w:continuationSeparator/>
      </w:r>
    </w:p>
  </w:endnote>
  <w:endnote w:type="continuationNotice" w:id="1">
    <w:p w14:paraId="72D556C3" w14:textId="77777777" w:rsidR="00E121EE" w:rsidRDefault="00E12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46E" w14:textId="77777777" w:rsidR="00E121EE" w:rsidRDefault="00E121EE">
      <w:pPr>
        <w:spacing w:after="0"/>
      </w:pPr>
      <w:r>
        <w:separator/>
      </w:r>
    </w:p>
  </w:footnote>
  <w:footnote w:type="continuationSeparator" w:id="0">
    <w:p w14:paraId="4D1B2D43" w14:textId="77777777" w:rsidR="00E121EE" w:rsidRDefault="00E121EE">
      <w:pPr>
        <w:spacing w:after="0"/>
      </w:pPr>
      <w:r>
        <w:continuationSeparator/>
      </w:r>
    </w:p>
  </w:footnote>
  <w:footnote w:type="continuationNotice" w:id="1">
    <w:p w14:paraId="04E5E9BC" w14:textId="77777777" w:rsidR="00E121EE" w:rsidRDefault="00E12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0"/>
  </w:num>
  <w:num w:numId="3" w16cid:durableId="848328707">
    <w:abstractNumId w:val="2"/>
  </w:num>
  <w:num w:numId="4" w16cid:durableId="1457137946">
    <w:abstractNumId w:val="12"/>
  </w:num>
  <w:num w:numId="5" w16cid:durableId="1097747988">
    <w:abstractNumId w:val="20"/>
  </w:num>
  <w:num w:numId="6" w16cid:durableId="675621482">
    <w:abstractNumId w:val="9"/>
  </w:num>
  <w:num w:numId="7" w16cid:durableId="1304964842">
    <w:abstractNumId w:val="14"/>
  </w:num>
  <w:num w:numId="8" w16cid:durableId="125047382">
    <w:abstractNumId w:val="10"/>
  </w:num>
  <w:num w:numId="9" w16cid:durableId="269971381">
    <w:abstractNumId w:val="17"/>
  </w:num>
  <w:num w:numId="10" w16cid:durableId="1166480600">
    <w:abstractNumId w:val="6"/>
  </w:num>
  <w:num w:numId="11" w16cid:durableId="1899051820">
    <w:abstractNumId w:val="11"/>
  </w:num>
  <w:num w:numId="12" w16cid:durableId="1750300129">
    <w:abstractNumId w:val="13"/>
  </w:num>
  <w:num w:numId="13" w16cid:durableId="1246263475">
    <w:abstractNumId w:val="12"/>
  </w:num>
  <w:num w:numId="14" w16cid:durableId="1670326438">
    <w:abstractNumId w:val="12"/>
  </w:num>
  <w:num w:numId="15" w16cid:durableId="1185368059">
    <w:abstractNumId w:val="1"/>
  </w:num>
  <w:num w:numId="16" w16cid:durableId="680856319">
    <w:abstractNumId w:val="5"/>
  </w:num>
  <w:num w:numId="17" w16cid:durableId="1320383609">
    <w:abstractNumId w:val="4"/>
  </w:num>
  <w:num w:numId="18" w16cid:durableId="1506020440">
    <w:abstractNumId w:val="12"/>
  </w:num>
  <w:num w:numId="19" w16cid:durableId="1131437444">
    <w:abstractNumId w:val="16"/>
  </w:num>
  <w:num w:numId="20" w16cid:durableId="1554272510">
    <w:abstractNumId w:val="12"/>
  </w:num>
  <w:num w:numId="21" w16cid:durableId="2070877550">
    <w:abstractNumId w:val="18"/>
  </w:num>
  <w:num w:numId="22" w16cid:durableId="1726248054">
    <w:abstractNumId w:val="12"/>
  </w:num>
  <w:num w:numId="23" w16cid:durableId="611282159">
    <w:abstractNumId w:val="19"/>
  </w:num>
  <w:num w:numId="24" w16cid:durableId="1473984226">
    <w:abstractNumId w:val="7"/>
  </w:num>
  <w:num w:numId="25" w16cid:durableId="52776904">
    <w:abstractNumId w:val="12"/>
  </w:num>
  <w:num w:numId="26" w16cid:durableId="194077589">
    <w:abstractNumId w:val="12"/>
  </w:num>
  <w:num w:numId="27" w16cid:durableId="776409118">
    <w:abstractNumId w:val="8"/>
  </w:num>
  <w:num w:numId="28" w16cid:durableId="1204831060">
    <w:abstractNumId w:val="0"/>
  </w:num>
  <w:num w:numId="29" w16cid:durableId="1459685286">
    <w:abstractNumId w:val="12"/>
  </w:num>
  <w:num w:numId="30" w16cid:durableId="1768177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2101C"/>
    <w:rsid w:val="00024312"/>
    <w:rsid w:val="00034513"/>
    <w:rsid w:val="00035798"/>
    <w:rsid w:val="00043721"/>
    <w:rsid w:val="0006104D"/>
    <w:rsid w:val="000712ED"/>
    <w:rsid w:val="000730BA"/>
    <w:rsid w:val="00076F06"/>
    <w:rsid w:val="00077247"/>
    <w:rsid w:val="000841DA"/>
    <w:rsid w:val="000855B8"/>
    <w:rsid w:val="00087A9A"/>
    <w:rsid w:val="000933B6"/>
    <w:rsid w:val="000957D6"/>
    <w:rsid w:val="00095B0E"/>
    <w:rsid w:val="00097AC9"/>
    <w:rsid w:val="000B4525"/>
    <w:rsid w:val="000B4873"/>
    <w:rsid w:val="000B5286"/>
    <w:rsid w:val="000D3D32"/>
    <w:rsid w:val="000D51CD"/>
    <w:rsid w:val="000D7711"/>
    <w:rsid w:val="000E2C31"/>
    <w:rsid w:val="000E61A5"/>
    <w:rsid w:val="000F5047"/>
    <w:rsid w:val="000F537B"/>
    <w:rsid w:val="001008D1"/>
    <w:rsid w:val="00105A52"/>
    <w:rsid w:val="00110DCF"/>
    <w:rsid w:val="001120ED"/>
    <w:rsid w:val="00121D6B"/>
    <w:rsid w:val="00127178"/>
    <w:rsid w:val="001338B7"/>
    <w:rsid w:val="00143521"/>
    <w:rsid w:val="00146B2F"/>
    <w:rsid w:val="00147207"/>
    <w:rsid w:val="001547BE"/>
    <w:rsid w:val="0016005C"/>
    <w:rsid w:val="00162617"/>
    <w:rsid w:val="00165516"/>
    <w:rsid w:val="00167EED"/>
    <w:rsid w:val="00173883"/>
    <w:rsid w:val="001924A8"/>
    <w:rsid w:val="00192E2D"/>
    <w:rsid w:val="00195324"/>
    <w:rsid w:val="00197843"/>
    <w:rsid w:val="001A0825"/>
    <w:rsid w:val="001C0D36"/>
    <w:rsid w:val="001C79A1"/>
    <w:rsid w:val="001E3B4A"/>
    <w:rsid w:val="001E3FE7"/>
    <w:rsid w:val="001F2B9D"/>
    <w:rsid w:val="001F709D"/>
    <w:rsid w:val="00200750"/>
    <w:rsid w:val="00200CB4"/>
    <w:rsid w:val="00203086"/>
    <w:rsid w:val="002040AD"/>
    <w:rsid w:val="00212A78"/>
    <w:rsid w:val="002138E1"/>
    <w:rsid w:val="00214438"/>
    <w:rsid w:val="00230B91"/>
    <w:rsid w:val="002326BB"/>
    <w:rsid w:val="00234164"/>
    <w:rsid w:val="00241E90"/>
    <w:rsid w:val="00246E0E"/>
    <w:rsid w:val="002531E6"/>
    <w:rsid w:val="002578E0"/>
    <w:rsid w:val="0026765E"/>
    <w:rsid w:val="00276A10"/>
    <w:rsid w:val="00280CE9"/>
    <w:rsid w:val="00291859"/>
    <w:rsid w:val="002954D8"/>
    <w:rsid w:val="00297FF8"/>
    <w:rsid w:val="002A0B22"/>
    <w:rsid w:val="002A0BF5"/>
    <w:rsid w:val="002A3C7D"/>
    <w:rsid w:val="002A538D"/>
    <w:rsid w:val="002A57B4"/>
    <w:rsid w:val="002A792C"/>
    <w:rsid w:val="002B0640"/>
    <w:rsid w:val="002C08B1"/>
    <w:rsid w:val="002C6B35"/>
    <w:rsid w:val="002C7B84"/>
    <w:rsid w:val="002D4724"/>
    <w:rsid w:val="002D6B09"/>
    <w:rsid w:val="002D7705"/>
    <w:rsid w:val="002E1490"/>
    <w:rsid w:val="002E505D"/>
    <w:rsid w:val="002F0BC7"/>
    <w:rsid w:val="002F66DE"/>
    <w:rsid w:val="003176AB"/>
    <w:rsid w:val="00334BE4"/>
    <w:rsid w:val="00341E19"/>
    <w:rsid w:val="00344C4B"/>
    <w:rsid w:val="00346EA7"/>
    <w:rsid w:val="00347C10"/>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39CC"/>
    <w:rsid w:val="003C4A6F"/>
    <w:rsid w:val="003D0600"/>
    <w:rsid w:val="003D26F9"/>
    <w:rsid w:val="003E0075"/>
    <w:rsid w:val="003E0126"/>
    <w:rsid w:val="003E595D"/>
    <w:rsid w:val="003E5ADF"/>
    <w:rsid w:val="003F4202"/>
    <w:rsid w:val="003F4986"/>
    <w:rsid w:val="003F5B15"/>
    <w:rsid w:val="003F60FE"/>
    <w:rsid w:val="003F7B7C"/>
    <w:rsid w:val="00407025"/>
    <w:rsid w:val="0041084D"/>
    <w:rsid w:val="00414659"/>
    <w:rsid w:val="00417E6E"/>
    <w:rsid w:val="00421203"/>
    <w:rsid w:val="0043054C"/>
    <w:rsid w:val="004324D5"/>
    <w:rsid w:val="00440D89"/>
    <w:rsid w:val="00440F1A"/>
    <w:rsid w:val="00441EEB"/>
    <w:rsid w:val="00443BA0"/>
    <w:rsid w:val="00452885"/>
    <w:rsid w:val="00453B12"/>
    <w:rsid w:val="00457ADF"/>
    <w:rsid w:val="004601DB"/>
    <w:rsid w:val="00461244"/>
    <w:rsid w:val="00475EE2"/>
    <w:rsid w:val="004768A4"/>
    <w:rsid w:val="00481662"/>
    <w:rsid w:val="0049738F"/>
    <w:rsid w:val="004A0679"/>
    <w:rsid w:val="004A1B8A"/>
    <w:rsid w:val="004A76D5"/>
    <w:rsid w:val="004B6A20"/>
    <w:rsid w:val="004C3083"/>
    <w:rsid w:val="004D03B3"/>
    <w:rsid w:val="004D1A5F"/>
    <w:rsid w:val="004D2666"/>
    <w:rsid w:val="004E1CF9"/>
    <w:rsid w:val="004E4061"/>
    <w:rsid w:val="004F2903"/>
    <w:rsid w:val="004F4B8E"/>
    <w:rsid w:val="004F59D6"/>
    <w:rsid w:val="004F665E"/>
    <w:rsid w:val="00512857"/>
    <w:rsid w:val="00521DD3"/>
    <w:rsid w:val="005316FD"/>
    <w:rsid w:val="005473B9"/>
    <w:rsid w:val="0055032C"/>
    <w:rsid w:val="00552A95"/>
    <w:rsid w:val="00557401"/>
    <w:rsid w:val="0056464A"/>
    <w:rsid w:val="00564DAA"/>
    <w:rsid w:val="00567739"/>
    <w:rsid w:val="00575B3D"/>
    <w:rsid w:val="005900AA"/>
    <w:rsid w:val="00595F58"/>
    <w:rsid w:val="005A4488"/>
    <w:rsid w:val="005A4DD8"/>
    <w:rsid w:val="005A6301"/>
    <w:rsid w:val="005A663B"/>
    <w:rsid w:val="005B2476"/>
    <w:rsid w:val="005B6606"/>
    <w:rsid w:val="005B683B"/>
    <w:rsid w:val="005C3338"/>
    <w:rsid w:val="005C4EDA"/>
    <w:rsid w:val="005C5690"/>
    <w:rsid w:val="005D5E61"/>
    <w:rsid w:val="005D7334"/>
    <w:rsid w:val="005E003F"/>
    <w:rsid w:val="005E22D9"/>
    <w:rsid w:val="005E7835"/>
    <w:rsid w:val="005F5769"/>
    <w:rsid w:val="005F71C7"/>
    <w:rsid w:val="0060108D"/>
    <w:rsid w:val="00601DFA"/>
    <w:rsid w:val="00601EB2"/>
    <w:rsid w:val="0060356D"/>
    <w:rsid w:val="006035D1"/>
    <w:rsid w:val="0061743E"/>
    <w:rsid w:val="00617871"/>
    <w:rsid w:val="0062226C"/>
    <w:rsid w:val="00622F20"/>
    <w:rsid w:val="00623399"/>
    <w:rsid w:val="00626D0B"/>
    <w:rsid w:val="006313A5"/>
    <w:rsid w:val="006324A9"/>
    <w:rsid w:val="00635E23"/>
    <w:rsid w:val="00640F25"/>
    <w:rsid w:val="00660099"/>
    <w:rsid w:val="00661AB9"/>
    <w:rsid w:val="006629B4"/>
    <w:rsid w:val="00672025"/>
    <w:rsid w:val="00674E3C"/>
    <w:rsid w:val="00684AA1"/>
    <w:rsid w:val="00685D63"/>
    <w:rsid w:val="006961FB"/>
    <w:rsid w:val="006A1190"/>
    <w:rsid w:val="006A3F70"/>
    <w:rsid w:val="006A4146"/>
    <w:rsid w:val="006B4076"/>
    <w:rsid w:val="006B4D97"/>
    <w:rsid w:val="006C0739"/>
    <w:rsid w:val="006C0A9B"/>
    <w:rsid w:val="006D5A22"/>
    <w:rsid w:val="006D750A"/>
    <w:rsid w:val="006E4B17"/>
    <w:rsid w:val="006E6BAC"/>
    <w:rsid w:val="006F0364"/>
    <w:rsid w:val="006F11C1"/>
    <w:rsid w:val="006F2C54"/>
    <w:rsid w:val="006F42EA"/>
    <w:rsid w:val="00701D46"/>
    <w:rsid w:val="007064FB"/>
    <w:rsid w:val="00727ECE"/>
    <w:rsid w:val="00732EC1"/>
    <w:rsid w:val="0073386A"/>
    <w:rsid w:val="00745D1A"/>
    <w:rsid w:val="00745E54"/>
    <w:rsid w:val="00754401"/>
    <w:rsid w:val="00763CEF"/>
    <w:rsid w:val="00764420"/>
    <w:rsid w:val="007645C4"/>
    <w:rsid w:val="0076681A"/>
    <w:rsid w:val="00771DCF"/>
    <w:rsid w:val="0077220C"/>
    <w:rsid w:val="0077586D"/>
    <w:rsid w:val="00777CBA"/>
    <w:rsid w:val="00784D94"/>
    <w:rsid w:val="00785D78"/>
    <w:rsid w:val="00797FF8"/>
    <w:rsid w:val="007A056B"/>
    <w:rsid w:val="007A3F98"/>
    <w:rsid w:val="007A714C"/>
    <w:rsid w:val="007A7E0E"/>
    <w:rsid w:val="007A7EFD"/>
    <w:rsid w:val="007B0285"/>
    <w:rsid w:val="007B13EA"/>
    <w:rsid w:val="007C2C1F"/>
    <w:rsid w:val="007C4C5D"/>
    <w:rsid w:val="007C5C9A"/>
    <w:rsid w:val="007C5EFF"/>
    <w:rsid w:val="007E099C"/>
    <w:rsid w:val="007E27D3"/>
    <w:rsid w:val="007E5545"/>
    <w:rsid w:val="007F0AE9"/>
    <w:rsid w:val="007F1FF4"/>
    <w:rsid w:val="007F26E2"/>
    <w:rsid w:val="007F6D1C"/>
    <w:rsid w:val="00802DC3"/>
    <w:rsid w:val="00804340"/>
    <w:rsid w:val="008065A2"/>
    <w:rsid w:val="008135B9"/>
    <w:rsid w:val="0081506E"/>
    <w:rsid w:val="00823DA1"/>
    <w:rsid w:val="0082466B"/>
    <w:rsid w:val="0082794E"/>
    <w:rsid w:val="00827C38"/>
    <w:rsid w:val="00831AB1"/>
    <w:rsid w:val="008411A6"/>
    <w:rsid w:val="008549D2"/>
    <w:rsid w:val="0086117A"/>
    <w:rsid w:val="00861806"/>
    <w:rsid w:val="00862891"/>
    <w:rsid w:val="00862ABC"/>
    <w:rsid w:val="008708D5"/>
    <w:rsid w:val="008744E4"/>
    <w:rsid w:val="008758EE"/>
    <w:rsid w:val="008776B3"/>
    <w:rsid w:val="00890801"/>
    <w:rsid w:val="008914B7"/>
    <w:rsid w:val="00895DE4"/>
    <w:rsid w:val="008B2A7B"/>
    <w:rsid w:val="008C0CC2"/>
    <w:rsid w:val="008C25C8"/>
    <w:rsid w:val="008C7584"/>
    <w:rsid w:val="008D4177"/>
    <w:rsid w:val="008D78D4"/>
    <w:rsid w:val="008D7D8B"/>
    <w:rsid w:val="008E2ED7"/>
    <w:rsid w:val="008F0BC7"/>
    <w:rsid w:val="009010A2"/>
    <w:rsid w:val="009031C3"/>
    <w:rsid w:val="00905F05"/>
    <w:rsid w:val="009125A8"/>
    <w:rsid w:val="00927418"/>
    <w:rsid w:val="00930583"/>
    <w:rsid w:val="00933664"/>
    <w:rsid w:val="009362FF"/>
    <w:rsid w:val="00945075"/>
    <w:rsid w:val="009457BF"/>
    <w:rsid w:val="00951576"/>
    <w:rsid w:val="00952132"/>
    <w:rsid w:val="009550DF"/>
    <w:rsid w:val="00963F05"/>
    <w:rsid w:val="009A7941"/>
    <w:rsid w:val="009B0575"/>
    <w:rsid w:val="009B297C"/>
    <w:rsid w:val="009B2FD6"/>
    <w:rsid w:val="009B504F"/>
    <w:rsid w:val="009B58F7"/>
    <w:rsid w:val="009B6889"/>
    <w:rsid w:val="009B7C9E"/>
    <w:rsid w:val="009C07EB"/>
    <w:rsid w:val="009C33D7"/>
    <w:rsid w:val="009C52E2"/>
    <w:rsid w:val="009D2371"/>
    <w:rsid w:val="009D2AE3"/>
    <w:rsid w:val="009D2D2A"/>
    <w:rsid w:val="009E1DEC"/>
    <w:rsid w:val="009E1F1B"/>
    <w:rsid w:val="009E263F"/>
    <w:rsid w:val="009E59A2"/>
    <w:rsid w:val="009F0E52"/>
    <w:rsid w:val="009F385E"/>
    <w:rsid w:val="00A069F4"/>
    <w:rsid w:val="00A06C89"/>
    <w:rsid w:val="00A10E9E"/>
    <w:rsid w:val="00A11C67"/>
    <w:rsid w:val="00A14473"/>
    <w:rsid w:val="00A2227E"/>
    <w:rsid w:val="00A32079"/>
    <w:rsid w:val="00A367C4"/>
    <w:rsid w:val="00A40DAF"/>
    <w:rsid w:val="00A42D72"/>
    <w:rsid w:val="00A471FB"/>
    <w:rsid w:val="00A57561"/>
    <w:rsid w:val="00A66088"/>
    <w:rsid w:val="00A7127A"/>
    <w:rsid w:val="00A7483D"/>
    <w:rsid w:val="00A757AC"/>
    <w:rsid w:val="00A802E7"/>
    <w:rsid w:val="00A81919"/>
    <w:rsid w:val="00A83640"/>
    <w:rsid w:val="00A91CF6"/>
    <w:rsid w:val="00AA5F72"/>
    <w:rsid w:val="00AB1175"/>
    <w:rsid w:val="00AB5F35"/>
    <w:rsid w:val="00AC4FDB"/>
    <w:rsid w:val="00AC68CE"/>
    <w:rsid w:val="00AC6A6E"/>
    <w:rsid w:val="00AD5255"/>
    <w:rsid w:val="00AE50B5"/>
    <w:rsid w:val="00AE63DF"/>
    <w:rsid w:val="00AF367E"/>
    <w:rsid w:val="00B07E0C"/>
    <w:rsid w:val="00B124A8"/>
    <w:rsid w:val="00B12935"/>
    <w:rsid w:val="00B1449E"/>
    <w:rsid w:val="00B147AB"/>
    <w:rsid w:val="00B31053"/>
    <w:rsid w:val="00B452DB"/>
    <w:rsid w:val="00B52D4F"/>
    <w:rsid w:val="00B538A0"/>
    <w:rsid w:val="00B539DC"/>
    <w:rsid w:val="00B55AB2"/>
    <w:rsid w:val="00B64448"/>
    <w:rsid w:val="00B71C6D"/>
    <w:rsid w:val="00B754B8"/>
    <w:rsid w:val="00B81D9C"/>
    <w:rsid w:val="00B85A77"/>
    <w:rsid w:val="00B93886"/>
    <w:rsid w:val="00B96C46"/>
    <w:rsid w:val="00B976F4"/>
    <w:rsid w:val="00BA5021"/>
    <w:rsid w:val="00BA59FF"/>
    <w:rsid w:val="00BB00E3"/>
    <w:rsid w:val="00BB67D6"/>
    <w:rsid w:val="00BC0D83"/>
    <w:rsid w:val="00BC0EF3"/>
    <w:rsid w:val="00BC4C81"/>
    <w:rsid w:val="00BC5A66"/>
    <w:rsid w:val="00BC7F10"/>
    <w:rsid w:val="00BD180E"/>
    <w:rsid w:val="00BD1CDB"/>
    <w:rsid w:val="00BD2889"/>
    <w:rsid w:val="00BD6B8D"/>
    <w:rsid w:val="00BE5C8D"/>
    <w:rsid w:val="00BE64BF"/>
    <w:rsid w:val="00BF70CD"/>
    <w:rsid w:val="00C01766"/>
    <w:rsid w:val="00C077E8"/>
    <w:rsid w:val="00C10D54"/>
    <w:rsid w:val="00C1362B"/>
    <w:rsid w:val="00C14693"/>
    <w:rsid w:val="00C17BE7"/>
    <w:rsid w:val="00C25E55"/>
    <w:rsid w:val="00C3294A"/>
    <w:rsid w:val="00C338C1"/>
    <w:rsid w:val="00C37189"/>
    <w:rsid w:val="00C37BEF"/>
    <w:rsid w:val="00C459B4"/>
    <w:rsid w:val="00C47FF3"/>
    <w:rsid w:val="00C501FB"/>
    <w:rsid w:val="00C523B8"/>
    <w:rsid w:val="00C5470A"/>
    <w:rsid w:val="00C55240"/>
    <w:rsid w:val="00C6229A"/>
    <w:rsid w:val="00C64588"/>
    <w:rsid w:val="00C67AD8"/>
    <w:rsid w:val="00C72A15"/>
    <w:rsid w:val="00C73B23"/>
    <w:rsid w:val="00C740E7"/>
    <w:rsid w:val="00C75EFB"/>
    <w:rsid w:val="00C7659B"/>
    <w:rsid w:val="00CA478A"/>
    <w:rsid w:val="00CA4CE9"/>
    <w:rsid w:val="00CA76D0"/>
    <w:rsid w:val="00CB3C4B"/>
    <w:rsid w:val="00CB4D23"/>
    <w:rsid w:val="00CB5D3F"/>
    <w:rsid w:val="00CC67B1"/>
    <w:rsid w:val="00CC79CB"/>
    <w:rsid w:val="00CD54F4"/>
    <w:rsid w:val="00CE2097"/>
    <w:rsid w:val="00CE2985"/>
    <w:rsid w:val="00CE75AB"/>
    <w:rsid w:val="00CE7977"/>
    <w:rsid w:val="00CF0764"/>
    <w:rsid w:val="00CF2439"/>
    <w:rsid w:val="00D04D39"/>
    <w:rsid w:val="00D07073"/>
    <w:rsid w:val="00D127E2"/>
    <w:rsid w:val="00D2317F"/>
    <w:rsid w:val="00D25EB7"/>
    <w:rsid w:val="00D32B41"/>
    <w:rsid w:val="00D4613B"/>
    <w:rsid w:val="00D54CCD"/>
    <w:rsid w:val="00D57FD6"/>
    <w:rsid w:val="00D60264"/>
    <w:rsid w:val="00D67E70"/>
    <w:rsid w:val="00D70518"/>
    <w:rsid w:val="00D7342E"/>
    <w:rsid w:val="00D75361"/>
    <w:rsid w:val="00D84449"/>
    <w:rsid w:val="00D91BCC"/>
    <w:rsid w:val="00D94D38"/>
    <w:rsid w:val="00D94F46"/>
    <w:rsid w:val="00D97D45"/>
    <w:rsid w:val="00DA30C0"/>
    <w:rsid w:val="00DA3691"/>
    <w:rsid w:val="00DA6578"/>
    <w:rsid w:val="00DB29E3"/>
    <w:rsid w:val="00DB7087"/>
    <w:rsid w:val="00DC4C53"/>
    <w:rsid w:val="00DD08BD"/>
    <w:rsid w:val="00DD2504"/>
    <w:rsid w:val="00DD434C"/>
    <w:rsid w:val="00DD6B41"/>
    <w:rsid w:val="00DE6A6A"/>
    <w:rsid w:val="00DF3A50"/>
    <w:rsid w:val="00DF3E4D"/>
    <w:rsid w:val="00DF5872"/>
    <w:rsid w:val="00DF6B0D"/>
    <w:rsid w:val="00E003A2"/>
    <w:rsid w:val="00E00F93"/>
    <w:rsid w:val="00E03D39"/>
    <w:rsid w:val="00E121EE"/>
    <w:rsid w:val="00E14AAC"/>
    <w:rsid w:val="00E25DAD"/>
    <w:rsid w:val="00E30B0F"/>
    <w:rsid w:val="00E357F5"/>
    <w:rsid w:val="00E374C2"/>
    <w:rsid w:val="00E41273"/>
    <w:rsid w:val="00E4647A"/>
    <w:rsid w:val="00E61C7E"/>
    <w:rsid w:val="00E673C7"/>
    <w:rsid w:val="00E675C4"/>
    <w:rsid w:val="00E67F43"/>
    <w:rsid w:val="00E75D75"/>
    <w:rsid w:val="00E81E62"/>
    <w:rsid w:val="00E84E3C"/>
    <w:rsid w:val="00E868A4"/>
    <w:rsid w:val="00E932A5"/>
    <w:rsid w:val="00E97DFB"/>
    <w:rsid w:val="00EA0AE4"/>
    <w:rsid w:val="00EB0C65"/>
    <w:rsid w:val="00EB34B8"/>
    <w:rsid w:val="00EB45B9"/>
    <w:rsid w:val="00EB646A"/>
    <w:rsid w:val="00EC0AE5"/>
    <w:rsid w:val="00EC0ED8"/>
    <w:rsid w:val="00EE36C6"/>
    <w:rsid w:val="00EE47B1"/>
    <w:rsid w:val="00EE599D"/>
    <w:rsid w:val="00EF437B"/>
    <w:rsid w:val="00F039A2"/>
    <w:rsid w:val="00F05A56"/>
    <w:rsid w:val="00F11CA6"/>
    <w:rsid w:val="00F22354"/>
    <w:rsid w:val="00F22716"/>
    <w:rsid w:val="00F23E84"/>
    <w:rsid w:val="00F36244"/>
    <w:rsid w:val="00F46F53"/>
    <w:rsid w:val="00F50AE6"/>
    <w:rsid w:val="00F63B74"/>
    <w:rsid w:val="00F647D4"/>
    <w:rsid w:val="00F7032F"/>
    <w:rsid w:val="00F7407D"/>
    <w:rsid w:val="00F7734E"/>
    <w:rsid w:val="00F8598B"/>
    <w:rsid w:val="00F90A7A"/>
    <w:rsid w:val="00F9670D"/>
    <w:rsid w:val="00FA33E0"/>
    <w:rsid w:val="00FA37CB"/>
    <w:rsid w:val="00FB0500"/>
    <w:rsid w:val="00FB0C49"/>
    <w:rsid w:val="00FB1C0E"/>
    <w:rsid w:val="00FB757E"/>
    <w:rsid w:val="00FC5386"/>
    <w:rsid w:val="00FC5DA6"/>
    <w:rsid w:val="00FC6AE7"/>
    <w:rsid w:val="00FE2785"/>
    <w:rsid w:val="00FF2AC5"/>
    <w:rsid w:val="00FF58E9"/>
    <w:rsid w:val="00FF6BD8"/>
    <w:rsid w:val="00FF6FBC"/>
    <w:rsid w:val="02890A85"/>
    <w:rsid w:val="0C9F87B8"/>
    <w:rsid w:val="0D520086"/>
    <w:rsid w:val="0E6CE62A"/>
    <w:rsid w:val="10817CBA"/>
    <w:rsid w:val="185F60B4"/>
    <w:rsid w:val="18876064"/>
    <w:rsid w:val="2BB4840F"/>
    <w:rsid w:val="3DD2CC3B"/>
    <w:rsid w:val="3FCBD0A6"/>
    <w:rsid w:val="40BE6502"/>
    <w:rsid w:val="43ECF1FA"/>
    <w:rsid w:val="46221458"/>
    <w:rsid w:val="4757D419"/>
    <w:rsid w:val="48FB566F"/>
    <w:rsid w:val="4B1E3AFA"/>
    <w:rsid w:val="51D44DD7"/>
    <w:rsid w:val="62AC257F"/>
    <w:rsid w:val="6403FE5D"/>
    <w:rsid w:val="67CB08F5"/>
    <w:rsid w:val="69316B50"/>
    <w:rsid w:val="6A1BD85B"/>
    <w:rsid w:val="6EE1A421"/>
    <w:rsid w:val="764D28A8"/>
    <w:rsid w:val="77B4DBE6"/>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338257F8-4259-48DF-AF2F-990A21FD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513</cp:revision>
  <dcterms:created xsi:type="dcterms:W3CDTF">2024-08-06T00:08:00Z</dcterms:created>
  <dcterms:modified xsi:type="dcterms:W3CDTF">2024-08-09T01:59:00Z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